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Nghị định </w:t>
      </w:r>
      <w:hyperlink r:id="rId5" w:tooltip="" w:history="1">
        <w:r>
          <w:rPr>
            <w:rStyle w:val="Hyperlink"/>
            <w:rFonts w:ascii="Arial" w:hAnsi="Arial" w:cs="Arial"/>
            <w:color w:val="A67942"/>
          </w:rPr>
          <w:t>123/2015/NĐ-CP</w:t>
        </w:r>
      </w:hyperlink>
      <w:r>
        <w:rPr>
          <w:rFonts w:ascii="Arial" w:hAnsi="Arial" w:cs="Arial"/>
          <w:color w:val="222222"/>
        </w:rPr>
        <w:t> hướng dẫn </w:t>
      </w:r>
      <w:hyperlink r:id="rId6" w:tooltip="" w:history="1">
        <w:r>
          <w:rPr>
            <w:rStyle w:val="Hyperlink"/>
            <w:rFonts w:ascii="Arial" w:hAnsi="Arial" w:cs="Arial"/>
            <w:color w:val="A67942"/>
          </w:rPr>
          <w:t>Luật Hộ tịch</w:t>
        </w:r>
      </w:hyperlink>
      <w:r>
        <w:rPr>
          <w:rFonts w:ascii="Arial" w:hAnsi="Arial" w:cs="Arial"/>
          <w:color w:val="222222"/>
        </w:rPr>
        <w:t> thì có 02 trường hợp con khai sinh có thể mang họ mẹ.</w:t>
      </w:r>
    </w:p>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Trường hợp 1: Do bố, mẹ thỏa thuận</w:t>
      </w:r>
    </w:p>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Khoản 1 Điều 4 của Nghị định 123, họ, chữ đệm, tên và dân tộc của trẻ được xác định theo thỏa thuận của cha, mẹ; trường hợp cha, mẹ không có thỏa thuận hoặc không thỏa thuận được, thì xác định theo tập quán.</w:t>
      </w:r>
    </w:p>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Như vậy, nếu bố mẹ có thỏa thuận, con có thể khai sinh theo họ của mẹ mà không bắt buộc phải theo họ của bố.</w:t>
      </w:r>
    </w:p>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Trường hợp 2: Không xác định được bố</w:t>
      </w:r>
    </w:p>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Khoản 2 Điều 15 Nghị định 123/2015/NĐ-CP quy định trường hợp chưa xác định được bố thì khi đăng ký khai sinh, họ, dân tộc, quê quán, quốc tịch của con được xác định theo họ, dân tộc, quê quán, quốc tịch của mẹ; phần ghi về bố trong Sổ hộ tịch và Giấy khai sinh của trẻ để trống.</w:t>
      </w:r>
    </w:p>
    <w:p w:rsidR="008A4A2F" w:rsidRDefault="008A4A2F" w:rsidP="008A4A2F">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Như vậy, nếu bố mẹ có thỏa thuận thì pháp luật hiện nay hoàn toàn cho phép con khai sinh mang họ mẹ.</w:t>
      </w:r>
      <w:r>
        <w:rPr>
          <w:rFonts w:ascii="Arial" w:hAnsi="Arial" w:cs="Arial"/>
          <w:color w:val="222222"/>
        </w:rPr>
        <w:br/>
        <w:t>Xem thêm: </w:t>
      </w:r>
      <w:hyperlink r:id="rId7" w:tooltip="" w:history="1">
        <w:r>
          <w:rPr>
            <w:rStyle w:val="Hyperlink"/>
            <w:rFonts w:ascii="Arial" w:hAnsi="Arial" w:cs="Arial"/>
            <w:color w:val="A67942"/>
          </w:rPr>
          <w:t>Thủ tục đăng ký khai sinh cho con theo mẹ và mang họ mẹ</w:t>
        </w:r>
      </w:hyperlink>
    </w:p>
    <w:p w:rsidR="00E41AB8" w:rsidRDefault="00E41AB8"/>
    <w:p w:rsidR="008A4A2F" w:rsidRDefault="008A4A2F"/>
    <w:p w:rsidR="008A4A2F" w:rsidRDefault="008A4A2F">
      <w:bookmarkStart w:id="0" w:name="_GoBack"/>
      <w:bookmarkEnd w:id="0"/>
    </w:p>
    <w:sectPr w:rsidR="008A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2F"/>
    <w:rsid w:val="008A4A2F"/>
    <w:rsid w:val="00E4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vn/hanh-chinh/thu-tuc-dang-ky-khai-sinh-cho-con-theo-me-570-24115-artic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tu-phap/luat-ho-tich-2014-91356-d1.html" TargetMode="External"/><Relationship Id="rId5" Type="http://schemas.openxmlformats.org/officeDocument/2006/relationships/hyperlink" Target="https://luatvietnam.vn/tu-phap/nghi-dinh-123-2015-nd-cp-chinh-phu-100409-d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2020-09-07T03:31:00Z</dcterms:created>
  <dcterms:modified xsi:type="dcterms:W3CDTF">2020-09-07T03:31:00Z</dcterms:modified>
</cp:coreProperties>
</file>